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 xml:space="preserve">SP.524.1.5.2022 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06.06.</w:t>
      </w:r>
      <w:r>
        <w:rPr/>
        <w:t>2022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Zarządzeniem  Nr 1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931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/2022 Prezydenta Miasta Racibórz z dnia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2 maja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2022 r.  w sprawie ogłoszenia otwartego konkursu ofert na realizację zada</w:t>
      </w:r>
      <w:r>
        <w:rPr>
          <w:rFonts w:eastAsia="Times New Roman" w:cs="Calibr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zh-CN" w:bidi="ar-SA"/>
        </w:rPr>
        <w:t xml:space="preserve">nia 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publiczn</w:t>
      </w:r>
      <w:r>
        <w:rPr>
          <w:rFonts w:eastAsia="Times New Roman" w:cs="Calibr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zh-CN" w:bidi="ar-SA"/>
        </w:rPr>
        <w:t xml:space="preserve">ego w 2022 r. p.n. </w:t>
      </w:r>
      <w:r>
        <w:rPr>
          <w:rFonts w:eastAsia="Times New Roman" w:cs="Times New Roman"/>
          <w:b w:val="false"/>
          <w:bCs w:val="false"/>
          <w:i/>
          <w:iCs/>
          <w:strike w:val="false"/>
          <w:dstrike w:val="false"/>
          <w:color w:val="auto"/>
          <w:kern w:val="0"/>
          <w:sz w:val="24"/>
          <w:szCs w:val="24"/>
          <w:u w:val="none"/>
          <w:lang w:val="pl-PL" w:eastAsia="zh-CN" w:bidi="ar-SA"/>
        </w:rPr>
        <w:t xml:space="preserve"> „Organizacja wypoczynku letniego z zajęciami profilaktycznymi dla dzieci i młodzieży” z zakresu „Przeciwdziałanie uzależnieniom i patologiom społecznym”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C9211E"/>
        </w:rPr>
        <w:t xml:space="preserve">W terminie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do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21 czerwca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2022 r. </w:t>
      </w:r>
      <w:r>
        <w:rPr>
          <w:rFonts w:cs="Calibri"/>
        </w:rPr>
        <w:t xml:space="preserve"> 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>II.</w:t>
      </w:r>
      <w:r>
        <w:rPr>
          <w:b/>
        </w:rPr>
        <w:t xml:space="preserve"> </w:t>
      </w:r>
      <w:r>
        <w:rPr>
          <w:rFonts w:cs="Calibri"/>
          <w:b/>
        </w:rPr>
        <w:t>Przyznana dotacja jest niższa niż dotacja wnioskowana.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W terminie do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21 czerwca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2022 r. </w:t>
      </w:r>
      <w:r>
        <w:rPr>
          <w:rFonts w:cs="Calibri"/>
        </w:rPr>
        <w:t xml:space="preserve"> prosimy o dostarczenie dokumentów niezbędnych do podpisania umowy, które są  zgodn</w:t>
      </w:r>
      <w:r>
        <w:rPr>
          <w:rFonts w:eastAsia="Times New Roman" w:cs="Calibri"/>
          <w:color w:val="auto"/>
          <w:sz w:val="24"/>
          <w:szCs w:val="24"/>
          <w:lang w:val="pl-PL" w:eastAsia="zh-CN" w:bidi="ar-SA"/>
        </w:rPr>
        <w:t xml:space="preserve">e </w:t>
      </w:r>
      <w:r>
        <w:rPr>
          <w:rFonts w:cs="Calibri"/>
        </w:rPr>
        <w:t>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1) zaktualizowanego harmonogramu działań (dział III, punkt 4 oferty).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2) zaktualizowanej kalkulacji przewidywanych kosztów realizacji zadania.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3) zaktualizowanego opisu poszczególnych działań (dział III, punkt 3 oferty).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4)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/>
      </w:pPr>
      <w:r>
        <w:rPr>
          <w:rFonts w:cs="Calibri"/>
        </w:rPr>
        <w:t>1</w:t>
      </w:r>
      <w:r>
        <w:rPr>
          <w:rFonts w:cs="Calibri"/>
          <w:lang w:eastAsia="pl-PL"/>
        </w:rPr>
        <w:t>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Należy zwrócić uwagę, że mimo przyznania niższej kwoty dotacji rezultaty zadania są wiążące i należy je zrealizować.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 xml:space="preserve">Spraw Społecznych 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       </w:t>
      </w:r>
      <w:r>
        <w:rPr>
          <w:rFonts w:cs="Calibri"/>
        </w:rPr>
        <w:t>Z up. Prezydenta  Miasta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  <w:t xml:space="preserve">             </w:t>
      </w:r>
      <w:r>
        <w:rPr>
          <w:rFonts w:cs="Calibri"/>
        </w:rPr>
        <w:t>Iwona Trzeciakowska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ab/>
        <w:tab/>
        <w:tab/>
        <w:tab/>
        <w:tab/>
        <w:tab/>
        <w:tab/>
      </w:r>
      <w:r>
        <w:rPr>
          <w:rFonts w:cs="Calibri"/>
        </w:rPr>
        <w:t xml:space="preserve">Naczelnik Wydziału Spraw Społecznych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LibreOffice/7.1.2.2$Windows_X86_64 LibreOffice_project/8a45595d069ef5570103caea1b71cc9d82b2aae4</Application>
  <AppVersion>15.0000</AppVersion>
  <Pages>2</Pages>
  <Words>459</Words>
  <Characters>3083</Characters>
  <CharactersWithSpaces>3700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2022-03-18T09:52:10Z</cp:lastPrinted>
  <dcterms:modified xsi:type="dcterms:W3CDTF">2022-06-07T10:18:40Z</dcterms:modified>
  <cp:revision>85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